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_күзгі___семестрі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5"/>
        <w:gridCol w:w="1182"/>
        <w:gridCol w:w="716"/>
        <w:gridCol w:w="903"/>
        <w:gridCol w:w="1"/>
        <w:gridCol w:w="933"/>
        <w:gridCol w:w="933"/>
        <w:gridCol w:w="1"/>
        <w:gridCol w:w="1"/>
        <w:gridCol w:w="1"/>
        <w:gridCol w:w="1037"/>
        <w:gridCol w:w="3"/>
        <w:gridCol w:w="1788"/>
      </w:tblGrid>
      <w:tr>
        <w:trPr>
          <w:trHeight w:val="265"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8"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2"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1"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88"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8"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pPr>
            <w:r>
              <w:rPr>
                <w:rFonts w:cs="Times New Roman"/>
                <w:b/>
                <w:sz w:val="20"/>
                <w:szCs w:val="20"/>
                <w:lang w:val="en-US" w:eastAsia="zh-CN"/>
              </w:rPr>
              <w:t>BIYa(VPU)2207</w:t>
            </w:r>
          </w:p>
          <w:p>
            <w:pPr>
              <w:pStyle w:val="Normal"/>
              <w:spacing w:lineRule="auto" w:line="240" w:before="0" w:after="0"/>
              <w:jc w:val="center"/>
              <w:rPr/>
            </w:pPr>
            <w:r>
              <w:rPr>
                <w:rFonts w:eastAsia="SimSun" w:cs="Times New Roman"/>
                <w:b/>
                <w:sz w:val="24"/>
                <w:szCs w:val="24"/>
                <w:lang w:val="kk-KZ" w:eastAsia="ru-RU"/>
              </w:rPr>
              <w:t>Іскерлік шығыс тілі</w:t>
            </w:r>
          </w:p>
        </w:tc>
        <w:tc>
          <w:tcPr>
            <w:tcW w:w="189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5</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3</w:t>
            </w:r>
          </w:p>
        </w:tc>
        <w:tc>
          <w:tcPr>
            <w:tcW w:w="179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r>
              <w:rPr>
                <w:sz w:val="16"/>
                <w:szCs w:val="16"/>
                <w:lang w:val="kk-KZ"/>
              </w:rPr>
              <w:t>Жағдаяттық тапсырмалар, типтік тапсырмалар, жаттығулар</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kk-KZ"/>
              </w:rPr>
            </w:pPr>
            <w:r>
              <w:rPr/>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LOnormal"/>
              <w:spacing w:before="0" w:after="0"/>
              <w:contextualSpacing/>
              <w:jc w:val="center"/>
              <w:rPr/>
            </w:pPr>
            <w:r>
              <w:rPr>
                <w:sz w:val="16"/>
                <w:szCs w:val="16"/>
                <w:lang w:val="kk-KZ"/>
              </w:rPr>
              <w:t>Жағдаяттық тапсырмалар, типтік тапсырмалар, жаттығулар</w:t>
            </w:r>
          </w:p>
        </w:tc>
        <w:tc>
          <w:tcPr>
            <w:tcW w:w="283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Пәннің мақсаты</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*Оқытудың күтілетін нәтижелері  (ОН)</w:t>
            </w:r>
          </w:p>
          <w:p>
            <w:pPr>
              <w:pStyle w:val="Normal"/>
              <w:jc w:val="center"/>
              <w:rPr/>
            </w:pPr>
            <w:r>
              <w:rPr>
                <w:sz w:val="18"/>
                <w:szCs w:val="18"/>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 xml:space="preserve">ОН қол жеткізу индикаторлары (ЖИ) </w:t>
            </w:r>
          </w:p>
          <w:p>
            <w:pPr>
              <w:pStyle w:val="Normal"/>
              <w:jc w:val="center"/>
              <w:rPr/>
            </w:pPr>
            <w:r>
              <w:rPr>
                <w:sz w:val="18"/>
                <w:szCs w:val="18"/>
              </w:rPr>
              <w:t>(әрбір ОН-ге кемінде 2 индикатор)</w:t>
            </w:r>
          </w:p>
        </w:tc>
      </w:tr>
      <w:tr>
        <w:trPr>
          <w:trHeight w:val="152"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pPr>
            <w:r>
              <w:rPr>
                <w:rFonts w:eastAsia="Times New Roman" w:cs="Times New Roman"/>
                <w:color w:val="333333"/>
                <w:sz w:val="20"/>
                <w:szCs w:val="20"/>
                <w:lang w:val="kk-KZ" w:eastAsia="ru-RU"/>
              </w:rPr>
              <w:t>студенттерге  қытай тілін қолдану машығы мен шеберлігін, оның айтылым мәдениетін қалыптастыру, кәсіби дайындық сапасын көтеру мақсатында грамматикалық формаларды қолдану.</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w:t>
            </w:r>
            <w:r>
              <w:rPr>
                <w:b/>
                <w:sz w:val="20"/>
                <w:szCs w:val="20"/>
                <w:lang w:bidi="hi-IN"/>
              </w:rPr>
              <w:t>1</w:t>
            </w:r>
            <w:r>
              <w:rPr>
                <w:b/>
                <w:sz w:val="20"/>
                <w:szCs w:val="20"/>
                <w:lang w:val="kk-KZ" w:bidi="hi-IN"/>
              </w:rPr>
              <w:t xml:space="preserve"> </w:t>
            </w:r>
            <w:r>
              <w:rPr>
                <w:sz w:val="20"/>
                <w:szCs w:val="20"/>
                <w:lang w:val="kk-KZ"/>
              </w:rPr>
              <w:t>Ш</w:t>
            </w:r>
            <w:r>
              <w:rPr>
                <w:rFonts w:eastAsia="Calibri"/>
                <w:sz w:val="20"/>
                <w:szCs w:val="20"/>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Pr>
                <w:sz w:val="20"/>
                <w:szCs w:val="20"/>
                <w:lang w:val="kk-KZ"/>
              </w:rPr>
              <w:t>стыру және дамыту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pPr>
              <w:pStyle w:val="11"/>
              <w:spacing w:lineRule="auto" w:line="276"/>
              <w:rPr/>
            </w:pPr>
            <w:r>
              <w:rPr>
                <w:b/>
                <w:lang w:val="kk-KZ"/>
              </w:rPr>
              <w:t xml:space="preserve">ЖИ 1.2 </w:t>
            </w:r>
            <w:r>
              <w:rPr>
                <w:lang w:val="kk-KZ"/>
              </w:rPr>
              <w:t>Оқитын шет тілін тыңдай отырып, қабылдау;</w:t>
            </w:r>
          </w:p>
          <w:p>
            <w:pPr>
              <w:pStyle w:val="Normal"/>
              <w:jc w:val="both"/>
              <w:rPr/>
            </w:pPr>
            <w:r>
              <w:rPr>
                <w:b/>
                <w:sz w:val="20"/>
                <w:szCs w:val="20"/>
                <w:lang w:val="kk-KZ"/>
              </w:rPr>
              <w:t xml:space="preserve">ЖИ 1.3 </w:t>
            </w:r>
            <w:r>
              <w:rPr>
                <w:sz w:val="20"/>
                <w:szCs w:val="20"/>
                <w:lang w:val="kk-KZ"/>
              </w:rPr>
              <w:t>Оқитын тілдегі түрлі мәтін түрлерін мазмұндау.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ОН2 </w:t>
            </w:r>
            <w:r>
              <w:rPr>
                <w:sz w:val="20"/>
                <w:szCs w:val="20"/>
                <w:lang w:val="kk-KZ" w:bidi="hi-IN"/>
              </w:rPr>
              <w:t>Шет тілін қолдану арқылы коммуникативтік құзыреттілікті жүзеге асыру және кәсіптік қызметте шет тілін белсенді пайдалану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pPr>
              <w:pStyle w:val="11"/>
              <w:spacing w:lineRule="auto" w:line="276"/>
              <w:rPr/>
            </w:pPr>
            <w:r>
              <w:rPr>
                <w:b/>
                <w:color w:val="000000"/>
                <w:lang w:val="kk-KZ"/>
              </w:rPr>
              <w:t xml:space="preserve">ЖИ 2.2 </w:t>
            </w:r>
            <w:r>
              <w:rPr>
                <w:color w:val="000000"/>
                <w:lang w:val="kk-KZ"/>
              </w:rPr>
              <w:t>Құбылысты, жағдайды шет тілінде сипаттау;</w:t>
            </w:r>
            <w:r>
              <w:rPr>
                <w:b/>
                <w:color w:val="000000"/>
                <w:lang w:val="kk-KZ"/>
              </w:rPr>
              <w:t xml:space="preserve"> </w:t>
            </w:r>
          </w:p>
          <w:p>
            <w:pPr>
              <w:pStyle w:val="NoSpacing"/>
              <w:jc w:val="both"/>
              <w:rPr/>
            </w:pPr>
            <w:r>
              <w:rPr>
                <w:rFonts w:ascii="Times New Roman" w:hAnsi="Times New Roman"/>
                <w:b/>
                <w:color w:val="000000"/>
                <w:sz w:val="20"/>
                <w:szCs w:val="20"/>
                <w:lang w:val="kk-KZ"/>
              </w:rPr>
              <w:t xml:space="preserve">ЖИ 2.3 </w:t>
            </w:r>
            <w:r>
              <w:rPr>
                <w:rFonts w:ascii="Times New Roman" w:hAnsi="Times New Roman"/>
                <w:color w:val="000000"/>
                <w:sz w:val="20"/>
                <w:szCs w:val="20"/>
                <w:lang w:val="kk-KZ"/>
              </w:rPr>
              <w:t>Электронды сөздіктерді қолдана отырып, сөздер мен сөйлемдерді аудару.</w:t>
            </w:r>
          </w:p>
        </w:tc>
      </w:tr>
      <w:tr>
        <w:trPr>
          <w:trHeight w:val="84"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3 </w:t>
            </w:r>
            <w:r>
              <w:rPr>
                <w:sz w:val="20"/>
                <w:szCs w:val="20"/>
                <w:lang w:val="kk-KZ"/>
              </w:rPr>
              <w:t>Ш</w:t>
            </w:r>
            <w:r>
              <w:rPr>
                <w:sz w:val="20"/>
                <w:szCs w:val="20"/>
                <w:lang w:val="kk-KZ" w:bidi="hi-IN"/>
              </w:rPr>
              <w:t>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3.1 </w:t>
            </w:r>
            <w:r>
              <w:rPr>
                <w:lang w:val="kk-KZ"/>
              </w:rPr>
              <w:t>Өз ойын шет тілінде ауызша және жазбаша дұрыс және дәлелді түрде тұжырымдау;</w:t>
            </w:r>
          </w:p>
          <w:p>
            <w:pPr>
              <w:pStyle w:val="11"/>
              <w:spacing w:lineRule="auto" w:line="276"/>
              <w:rPr/>
            </w:pPr>
            <w:r>
              <w:rPr>
                <w:b/>
                <w:color w:val="000000"/>
                <w:lang w:val="kk-KZ"/>
              </w:rPr>
              <w:t xml:space="preserve">ЖИ 3.2 </w:t>
            </w:r>
            <w:r>
              <w:rPr>
                <w:color w:val="00000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p>
            <w:pPr>
              <w:pStyle w:val="NoSpacing"/>
              <w:jc w:val="both"/>
              <w:rPr/>
            </w:pPr>
            <w:r>
              <w:rPr>
                <w:rFonts w:ascii="Times New Roman" w:hAnsi="Times New Roman"/>
                <w:b/>
                <w:color w:val="000000"/>
                <w:sz w:val="20"/>
                <w:szCs w:val="20"/>
                <w:lang w:val="kk-KZ"/>
              </w:rPr>
              <w:t xml:space="preserve">ЖИ 3.3 </w:t>
            </w:r>
            <w:r>
              <w:rPr>
                <w:rFonts w:ascii="Times New Roman" w:hAnsi="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4 </w:t>
            </w:r>
            <w:r>
              <w:rPr>
                <w:sz w:val="20"/>
                <w:szCs w:val="20"/>
                <w:lang w:val="kk-KZ" w:bidi="hi-IN"/>
              </w:rPr>
              <w:t>Заманауи білім беру технологияларын қолдана отырып, шет тілінің білімін дамыту және жетілдіру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4.1 </w:t>
            </w:r>
            <w:r>
              <w:rPr>
                <w:lang w:val="kk-KZ"/>
              </w:rPr>
              <w:t>Оқыған материалды талдау;</w:t>
            </w:r>
          </w:p>
          <w:p>
            <w:pPr>
              <w:pStyle w:val="11"/>
              <w:spacing w:lineRule="auto" w:line="276"/>
              <w:rPr/>
            </w:pPr>
            <w:r>
              <w:rPr>
                <w:b/>
                <w:color w:val="000000"/>
                <w:lang w:val="kk-KZ"/>
              </w:rPr>
              <w:t>ЖИ 4.2</w:t>
            </w:r>
            <w:r>
              <w:rPr>
                <w:color w:val="000000"/>
                <w:lang w:val="kk-KZ"/>
              </w:rPr>
              <w:t xml:space="preserve"> Материалдарды жинау және саралау;</w:t>
            </w:r>
          </w:p>
          <w:p>
            <w:pPr>
              <w:pStyle w:val="Normal"/>
              <w:jc w:val="both"/>
              <w:rPr/>
            </w:pPr>
            <w:r>
              <w:rPr>
                <w:b/>
                <w:color w:val="000000"/>
                <w:sz w:val="20"/>
                <w:szCs w:val="20"/>
                <w:lang w:val="kk-KZ"/>
              </w:rPr>
              <w:t>ЖИ 4.3</w:t>
            </w:r>
            <w:r>
              <w:rPr>
                <w:color w:val="000000"/>
                <w:sz w:val="20"/>
                <w:szCs w:val="20"/>
                <w:lang w:val="kk-KZ"/>
              </w:rPr>
              <w:t xml:space="preserve"> Мәтіннің грамматикалық құрылысын талдау.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5 </w:t>
            </w:r>
            <w:r>
              <w:rPr>
                <w:sz w:val="20"/>
                <w:szCs w:val="20"/>
                <w:lang w:val="kk-KZ"/>
              </w:rPr>
              <w:t>Шығыс тілі пәні бойынша негізгі базалық білімді игеру арқылы грамматикалық тұрғыдан дұрыс сөйлеуге және өз ойын жүйелі еркін жеткізуге</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pPr>
              <w:pStyle w:val="11"/>
              <w:spacing w:lineRule="auto" w:line="276"/>
              <w:rPr/>
            </w:pPr>
            <w:r>
              <w:rPr>
                <w:b/>
                <w:color w:val="000000"/>
                <w:lang w:val="kk-KZ"/>
              </w:rPr>
              <w:t xml:space="preserve">ЖИ 5.2 </w:t>
            </w:r>
            <w:r>
              <w:rPr>
                <w:color w:val="000000"/>
                <w:lang w:val="kk-KZ"/>
              </w:rPr>
              <w:t>Оқитын шет тілінде топтық талқылау:</w:t>
            </w:r>
          </w:p>
          <w:p>
            <w:pPr>
              <w:pStyle w:val="11"/>
              <w:spacing w:lineRule="auto" w:line="276"/>
              <w:rPr/>
            </w:pPr>
            <w:r>
              <w:rPr>
                <w:b/>
                <w:color w:val="000000"/>
                <w:lang w:val="kk-KZ"/>
              </w:rPr>
              <w:t>ЖИ 5.3</w:t>
            </w:r>
            <w:r>
              <w:rPr>
                <w:color w:val="000000"/>
                <w:lang w:val="kk-KZ"/>
              </w:rPr>
              <w:t xml:space="preserve"> Оқитын  шет тілінде белгілі бір тақырыпта эссе жазу;</w:t>
            </w:r>
          </w:p>
          <w:p>
            <w:pPr>
              <w:pStyle w:val="Normal"/>
              <w:jc w:val="both"/>
              <w:rPr/>
            </w:pPr>
            <w:r>
              <w:rPr>
                <w:b/>
                <w:color w:val="000000"/>
                <w:sz w:val="20"/>
                <w:szCs w:val="20"/>
                <w:lang w:val="kk-KZ"/>
              </w:rPr>
              <w:t>ЖИ 5.</w:t>
            </w:r>
            <w:r>
              <w:rPr>
                <w:rFonts w:eastAsia="宋体"/>
                <w:b/>
                <w:color w:val="000000"/>
                <w:sz w:val="20"/>
                <w:szCs w:val="20"/>
                <w:lang w:val="kk-KZ" w:eastAsia="zh-CN"/>
              </w:rPr>
              <w:t>4</w:t>
            </w:r>
            <w:r>
              <w:rPr>
                <w:color w:val="000000"/>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Пререквизиттер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cs="Times New Roman"/>
                <w:sz w:val="18"/>
                <w:szCs w:val="18"/>
                <w:lang w:val="kk-KZ"/>
              </w:rPr>
              <w:t xml:space="preserve"> </w:t>
            </w:r>
            <w:r>
              <w:rPr>
                <w:rFonts w:cs="Times New Roman"/>
                <w:sz w:val="18"/>
                <w:szCs w:val="18"/>
                <w:lang w:val="kk-KZ"/>
              </w:rPr>
              <w:t>(</w:t>
            </w:r>
            <w:r>
              <w:rPr>
                <w:rFonts w:cs="Times New Roman"/>
                <w:sz w:val="18"/>
                <w:szCs w:val="18"/>
                <w:lang w:val="en-US"/>
              </w:rPr>
              <w:t>TP</w:t>
            </w:r>
            <w:r>
              <w:rPr>
                <w:rFonts w:cs="Times New Roman"/>
                <w:sz w:val="18"/>
                <w:szCs w:val="18"/>
              </w:rPr>
              <w:t>2201</w:t>
            </w:r>
            <w:r>
              <w:rPr>
                <w:rFonts w:cs="Times New Roman"/>
                <w:sz w:val="18"/>
                <w:szCs w:val="18"/>
                <w:lang w:val="kk-KZ"/>
              </w:rPr>
              <w:t xml:space="preserve">) Аударма теориясы </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Постреквизиттер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cs="Times New Roman"/>
                <w:sz w:val="18"/>
                <w:szCs w:val="18"/>
                <w:lang w:val="kk-KZ"/>
              </w:rPr>
            </w:pPr>
            <w:r>
              <w:rPr>
                <w:rFonts w:cs="Times New Roman"/>
                <w:sz w:val="18"/>
                <w:szCs w:val="18"/>
                <w:lang w:val="kk-KZ"/>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rPr/>
            </w:pPr>
            <w:r>
              <w:rPr>
                <w:b/>
                <w:bCs/>
                <w:sz w:val="20"/>
                <w:szCs w:val="20"/>
                <w:lang w:val="kk-KZ"/>
              </w:rPr>
              <w:t>Негізгі:</w:t>
            </w:r>
          </w:p>
          <w:p>
            <w:pPr>
              <w:pStyle w:val="Normal"/>
              <w:numPr>
                <w:ilvl w:val="0"/>
                <w:numId w:val="1"/>
              </w:numPr>
              <w:rPr/>
            </w:pPr>
            <w:r>
              <w:rPr>
                <w:sz w:val="20"/>
                <w:szCs w:val="20"/>
                <w:lang w:val="kk-KZ" w:eastAsia="zh-CN"/>
              </w:rPr>
              <w:t>《新实用汉语</w:t>
            </w:r>
            <w:r>
              <w:rPr>
                <w:rFonts w:eastAsia="宋体"/>
                <w:sz w:val="20"/>
                <w:szCs w:val="20"/>
                <w:lang w:val="en-US" w:eastAsia="zh-CN"/>
              </w:rPr>
              <w:t>3</w:t>
            </w:r>
            <w:r>
              <w:rPr>
                <w:sz w:val="20"/>
                <w:szCs w:val="20"/>
                <w:lang w:val="kk-KZ" w:eastAsia="zh-CN"/>
              </w:rPr>
              <w:t>》，北京语言大学出版社，</w:t>
            </w:r>
            <w:r>
              <w:rPr>
                <w:sz w:val="20"/>
                <w:szCs w:val="20"/>
                <w:lang w:val="kk-KZ" w:eastAsia="zh-CN"/>
              </w:rPr>
              <w:t>201</w:t>
            </w:r>
            <w:r>
              <w:rPr>
                <w:rFonts w:eastAsia="宋体"/>
                <w:sz w:val="20"/>
                <w:szCs w:val="20"/>
                <w:lang w:val="kk-KZ" w:eastAsia="zh-CN"/>
              </w:rPr>
              <w:t>7</w:t>
            </w:r>
            <w:r>
              <w:rPr>
                <w:sz w:val="20"/>
                <w:szCs w:val="20"/>
                <w:lang w:val="kk-KZ" w:eastAsia="zh-CN"/>
              </w:rPr>
              <w:t>年</w:t>
            </w:r>
          </w:p>
          <w:p>
            <w:pPr>
              <w:pStyle w:val="Normal"/>
              <w:numPr>
                <w:ilvl w:val="0"/>
                <w:numId w:val="1"/>
              </w:numPr>
              <w:rPr/>
            </w:pPr>
            <w:r>
              <w:rPr>
                <w:sz w:val="20"/>
                <w:szCs w:val="20"/>
                <w:lang w:val="kk-KZ" w:eastAsia="zh-CN"/>
              </w:rPr>
              <w:t>《</w:t>
            </w:r>
            <w:r>
              <w:rPr>
                <w:rFonts w:eastAsia="宋体"/>
                <w:sz w:val="20"/>
                <w:szCs w:val="20"/>
                <w:lang w:val="kk-KZ" w:eastAsia="zh-CN"/>
              </w:rPr>
              <w:t>HSK</w:t>
            </w:r>
            <w:r>
              <w:rPr>
                <w:sz w:val="20"/>
                <w:szCs w:val="20"/>
                <w:lang w:val="kk-KZ" w:eastAsia="zh-CN"/>
              </w:rPr>
              <w:t>汉字</w:t>
            </w:r>
            <w:r>
              <w:rPr>
                <w:rFonts w:eastAsia="宋体"/>
                <w:sz w:val="20"/>
                <w:szCs w:val="20"/>
                <w:lang w:val="kk-KZ" w:eastAsia="zh-CN"/>
              </w:rPr>
              <w:t>2000</w:t>
            </w:r>
            <w:r>
              <w:rPr>
                <w:sz w:val="20"/>
                <w:szCs w:val="20"/>
                <w:lang w:val="kk-KZ" w:eastAsia="zh-CN"/>
              </w:rPr>
              <w:t>》，北京语言大学出版社，</w:t>
            </w:r>
            <w:r>
              <w:rPr>
                <w:rFonts w:eastAsia="宋体"/>
                <w:sz w:val="20"/>
                <w:szCs w:val="20"/>
                <w:lang w:val="kk-KZ" w:eastAsia="zh-CN"/>
              </w:rPr>
              <w:t>2005</w:t>
            </w:r>
            <w:r>
              <w:rPr>
                <w:sz w:val="20"/>
                <w:szCs w:val="20"/>
                <w:lang w:val="kk-KZ" w:eastAsia="zh-CN"/>
              </w:rPr>
              <w:t>年</w:t>
            </w:r>
          </w:p>
          <w:p>
            <w:pPr>
              <w:pStyle w:val="Normal"/>
              <w:numPr>
                <w:ilvl w:val="0"/>
                <w:numId w:val="1"/>
              </w:numPr>
              <w:rPr/>
            </w:pPr>
            <w:r>
              <w:rPr>
                <w:sz w:val="20"/>
                <w:szCs w:val="20"/>
                <w:lang w:val="kk-KZ" w:eastAsia="zh-CN"/>
              </w:rPr>
              <w:t>《汉语语法轻松学》，华语教学出版社，</w:t>
            </w:r>
            <w:r>
              <w:rPr>
                <w:rFonts w:eastAsia="宋体"/>
                <w:sz w:val="20"/>
                <w:szCs w:val="20"/>
                <w:lang w:val="kk-KZ" w:eastAsia="zh-CN"/>
              </w:rPr>
              <w:t>2018</w:t>
            </w:r>
            <w:r>
              <w:rPr>
                <w:sz w:val="20"/>
                <w:szCs w:val="20"/>
                <w:lang w:val="kk-KZ" w:eastAsia="zh-CN"/>
              </w:rPr>
              <w:t>年</w:t>
            </w:r>
          </w:p>
          <w:p>
            <w:pPr>
              <w:pStyle w:val="Normal"/>
              <w:numPr>
                <w:ilvl w:val="0"/>
                <w:numId w:val="1"/>
              </w:numPr>
              <w:rPr/>
            </w:pPr>
            <w:r>
              <w:rPr>
                <w:rFonts w:ascii="宋体" w:hAnsi="宋体" w:cs="宋体"/>
                <w:sz w:val="20"/>
                <w:szCs w:val="20"/>
                <w:shd w:fill="FFFFFF" w:val="clear"/>
                <w:lang w:val="kk-KZ" w:eastAsia="zh-CN"/>
              </w:rPr>
              <w:t>新</w:t>
            </w:r>
            <w:r>
              <w:rPr>
                <w:sz w:val="20"/>
                <w:szCs w:val="20"/>
                <w:shd w:fill="FFFFFF" w:val="clear"/>
                <w:lang w:val="kk-KZ" w:eastAsia="zh-CN"/>
              </w:rPr>
              <w:t>HSK</w:t>
            </w:r>
            <w:r>
              <w:rPr>
                <w:rFonts w:ascii="宋体" w:hAnsi="宋体" w:cs="宋体"/>
                <w:sz w:val="20"/>
                <w:szCs w:val="20"/>
                <w:shd w:fill="FFFFFF" w:val="clear"/>
                <w:lang w:val="kk-KZ" w:eastAsia="zh-CN"/>
              </w:rPr>
              <w:t>速成强化教程三级，王海峰，陈莉，路云编著，北京语言大学出版社</w:t>
            </w:r>
            <w:r>
              <w:rPr>
                <w:rFonts w:eastAsia="宋体" w:cs="宋体" w:ascii="宋体" w:hAnsi="宋体"/>
                <w:sz w:val="20"/>
                <w:szCs w:val="20"/>
                <w:shd w:fill="FFFFFF" w:val="clear"/>
                <w:lang w:val="kk-KZ" w:eastAsia="zh-CN"/>
              </w:rPr>
              <w:t>2019</w:t>
            </w:r>
          </w:p>
          <w:p>
            <w:pPr>
              <w:pStyle w:val="Normal"/>
              <w:numPr>
                <w:ilvl w:val="0"/>
                <w:numId w:val="1"/>
              </w:numPr>
              <w:rPr/>
            </w:pPr>
            <w:r>
              <w:rPr>
                <w:lang w:val="kk-KZ" w:eastAsia="zh-CN"/>
              </w:rPr>
              <w:t xml:space="preserve">HSK4 </w:t>
            </w:r>
            <w:r>
              <w:rPr>
                <w:rFonts w:ascii="宋体" w:hAnsi="宋体" w:cs="宋体"/>
                <w:lang w:val="kk-KZ" w:eastAsia="zh-CN"/>
              </w:rPr>
              <w:t>上。</w:t>
            </w:r>
            <w:r>
              <w:rPr>
                <w:lang w:val="kk-KZ" w:eastAsia="zh-CN"/>
              </w:rPr>
              <w:t xml:space="preserve"> </w:t>
            </w:r>
            <w:r>
              <w:rPr>
                <w:rFonts w:ascii="宋体" w:hAnsi="宋体" w:cs="宋体"/>
                <w:lang w:val="kk-KZ" w:eastAsia="zh-CN"/>
              </w:rPr>
              <w:t>姜丽萍。</w:t>
            </w:r>
            <w:r>
              <w:rPr>
                <w:lang w:val="kk-KZ" w:eastAsia="zh-CN"/>
              </w:rPr>
              <w:t xml:space="preserve"> </w:t>
            </w:r>
            <w:r>
              <w:rPr>
                <w:rFonts w:ascii="宋体" w:hAnsi="宋体" w:cs="宋体"/>
                <w:lang w:val="kk-KZ" w:eastAsia="zh-CN"/>
              </w:rPr>
              <w:t>北京语言大学出版社。</w:t>
            </w:r>
            <w:r>
              <w:rPr>
                <w:lang w:val="kk-KZ" w:eastAsia="zh-CN"/>
              </w:rPr>
              <w:t>2018</w:t>
            </w:r>
            <w:r>
              <w:rPr>
                <w:rFonts w:ascii="宋体" w:hAnsi="宋体" w:cs="宋体"/>
                <w:lang w:val="kk-KZ" w:eastAsia="zh-CN"/>
              </w:rPr>
              <w:t>年</w:t>
            </w:r>
          </w:p>
          <w:p>
            <w:pPr>
              <w:pStyle w:val="Normal"/>
              <w:keepNext w:val="true"/>
              <w:numPr>
                <w:ilvl w:val="0"/>
                <w:numId w:val="0"/>
              </w:numPr>
              <w:tabs>
                <w:tab w:val="clear" w:pos="720"/>
                <w:tab w:val="center" w:pos="9639" w:leader="none"/>
              </w:tabs>
              <w:spacing w:lineRule="auto" w:line="276"/>
              <w:outlineLvl w:val="1"/>
              <w:rPr/>
            </w:pPr>
            <w:r>
              <w:rPr>
                <w:b/>
                <w:bCs/>
                <w:sz w:val="20"/>
                <w:szCs w:val="20"/>
                <w:lang w:val="kk-KZ"/>
              </w:rPr>
              <w:t>Қосымша:</w:t>
            </w:r>
          </w:p>
          <w:p>
            <w:pPr>
              <w:pStyle w:val="Normal"/>
              <w:spacing w:before="0" w:after="0"/>
              <w:ind w:left="6" w:hanging="0"/>
              <w:contextualSpacing/>
              <w:rPr/>
            </w:pPr>
            <w:r>
              <w:rPr>
                <w:sz w:val="20"/>
                <w:szCs w:val="20"/>
                <w:lang w:val="kk-KZ"/>
              </w:rPr>
              <w:t>Интернет-ресурсы:</w:t>
            </w:r>
          </w:p>
          <w:p>
            <w:pPr>
              <w:pStyle w:val="Normal"/>
              <w:numPr>
                <w:ilvl w:val="0"/>
                <w:numId w:val="2"/>
              </w:numPr>
              <w:ind w:firstLine="402"/>
              <w:rPr/>
            </w:pPr>
            <w:hyperlink r:id="rId2">
              <w:r>
                <w:rPr>
                  <w:rStyle w:val="Style9"/>
                  <w:rFonts w:eastAsia="宋体"/>
                  <w:b/>
                  <w:bCs/>
                  <w:sz w:val="20"/>
                  <w:szCs w:val="20"/>
                  <w:lang w:val="kk-KZ" w:eastAsia="zh-CN"/>
                </w:rPr>
                <w:t>https://wenku.baidu.com/view/cfa3e115a0116c175e0e4814.html</w:t>
              </w:r>
            </w:hyperlink>
          </w:p>
          <w:p>
            <w:pPr>
              <w:pStyle w:val="Normal"/>
              <w:numPr>
                <w:ilvl w:val="0"/>
                <w:numId w:val="2"/>
              </w:numPr>
              <w:ind w:firstLine="402"/>
              <w:rPr/>
            </w:pPr>
            <w:hyperlink r:id="rId3">
              <w:r>
                <w:rPr>
                  <w:rStyle w:val="Style9"/>
                  <w:rFonts w:eastAsia="宋体"/>
                  <w:b/>
                  <w:bCs/>
                  <w:sz w:val="20"/>
                  <w:szCs w:val="20"/>
                  <w:lang w:val="kk-KZ" w:eastAsia="zh-CN"/>
                </w:rPr>
                <w:t>http://blog.sina.com.cn/s/blog_873339840101a8pu.html</w:t>
              </w:r>
            </w:hyperlink>
          </w:p>
          <w:p>
            <w:pPr>
              <w:pStyle w:val="NoSpacing"/>
              <w:ind w:left="317" w:right="0" w:hanging="0"/>
              <w:jc w:val="both"/>
              <w:rPr/>
            </w:pPr>
            <w:hyperlink r:id="rId4">
              <w:r>
                <w:rPr>
                  <w:rStyle w:val="Style9"/>
                  <w:rFonts w:eastAsia="宋体" w:ascii="Times New Roman" w:hAnsi="Times New Roman"/>
                  <w:b/>
                  <w:bCs/>
                  <w:sz w:val="20"/>
                  <w:szCs w:val="20"/>
                  <w:highlight w:val="white"/>
                  <w:lang w:val="kk-KZ" w:eastAsia="zh-CN"/>
                </w:rPr>
                <w:t>https://myhsk.org/hsk-5-test/h51332/</w:t>
              </w:r>
            </w:hyperlink>
            <w:r>
              <w:rPr>
                <w:rFonts w:ascii="Times New Roman" w:hAnsi="Times New Roman"/>
                <w:b/>
                <w:color w:val="000000"/>
                <w:sz w:val="20"/>
                <w:szCs w:val="20"/>
                <w:highlight w:val="white"/>
                <w:lang w:val="kk-KZ" w:eastAsia="zh-CN"/>
              </w:rPr>
              <w:t xml:space="preserve">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986"/>
        <w:gridCol w:w="824"/>
        <w:gridCol w:w="273"/>
        <w:gridCol w:w="1061"/>
        <w:gridCol w:w="1736"/>
        <w:gridCol w:w="3"/>
        <w:gridCol w:w="2758"/>
        <w:gridCol w:w="2053"/>
      </w:tblGrid>
      <w:tr>
        <w:trPr>
          <w:trHeight w:val="5519" w:hRule="atLeast"/>
        </w:trPr>
        <w:tc>
          <w:tcPr>
            <w:tcW w:w="1810" w:type="dxa"/>
            <w:gridSpan w:val="2"/>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7884" w:type="dxa"/>
            <w:gridSpan w:val="6"/>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9694" w:type="dxa"/>
            <w:gridSpan w:val="8"/>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4883" w:type="dxa"/>
            <w:gridSpan w:val="6"/>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811" w:type="dxa"/>
            <w:gridSpan w:val="2"/>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986"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097" w:type="dxa"/>
            <w:gridSpan w:val="2"/>
            <w:tcBorders/>
            <w:shd w:color="auto" w:fill="auto" w:val="clear"/>
          </w:tcPr>
          <w:p>
            <w:pPr>
              <w:pStyle w:val="Normal"/>
              <w:jc w:val="both"/>
              <w:rPr/>
            </w:pPr>
            <w:r>
              <w:rPr>
                <w:b/>
                <w:sz w:val="16"/>
                <w:szCs w:val="16"/>
                <w:lang w:val="kk-KZ"/>
              </w:rPr>
              <w:t xml:space="preserve">Бағалау әдістері </w:t>
            </w:r>
          </w:p>
        </w:tc>
        <w:tc>
          <w:tcPr>
            <w:tcW w:w="1061"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36" w:type="dxa"/>
            <w:tcBorders/>
            <w:shd w:color="auto" w:fill="auto" w:val="clear"/>
          </w:tcPr>
          <w:p>
            <w:pPr>
              <w:pStyle w:val="Normal"/>
              <w:jc w:val="both"/>
              <w:rPr/>
            </w:pPr>
            <w:r>
              <w:rPr>
                <w:b/>
                <w:sz w:val="16"/>
                <w:szCs w:val="16"/>
                <w:lang w:val="kk-KZ"/>
              </w:rPr>
              <w:t xml:space="preserve">Бағалау әдістері </w:t>
            </w:r>
          </w:p>
        </w:tc>
        <w:tc>
          <w:tcPr>
            <w:tcW w:w="4814" w:type="dxa"/>
            <w:gridSpan w:val="3"/>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986" w:type="dxa"/>
            <w:tcBorders/>
            <w:shd w:fill="auto" w:val="clear"/>
          </w:tcPr>
          <w:p>
            <w:pPr>
              <w:pStyle w:val="Normal"/>
              <w:rPr/>
            </w:pPr>
            <w:r>
              <w:rPr>
                <w:b/>
                <w:bCs/>
                <w:sz w:val="16"/>
                <w:szCs w:val="16"/>
                <w:lang w:val="kk-KZ"/>
              </w:rPr>
              <w:t xml:space="preserve">Баға </w:t>
            </w:r>
          </w:p>
        </w:tc>
        <w:tc>
          <w:tcPr>
            <w:tcW w:w="1097" w:type="dxa"/>
            <w:gridSpan w:val="2"/>
            <w:tcBorders/>
            <w:shd w:fill="auto" w:val="clear"/>
          </w:tcPr>
          <w:p>
            <w:pPr>
              <w:pStyle w:val="Normal"/>
              <w:jc w:val="both"/>
              <w:rPr/>
            </w:pPr>
            <w:r>
              <w:rPr>
                <w:b/>
                <w:bCs/>
                <w:sz w:val="16"/>
                <w:szCs w:val="16"/>
                <w:lang w:val="kk-KZ"/>
              </w:rPr>
              <w:t>Баллдардың сандық баламасы</w:t>
            </w:r>
          </w:p>
        </w:tc>
        <w:tc>
          <w:tcPr>
            <w:tcW w:w="1061"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36" w:type="dxa"/>
            <w:vMerge w:val="restart"/>
            <w:tcBorders/>
            <w:shd w:fill="auto" w:val="clear"/>
          </w:tcPr>
          <w:p>
            <w:pPr>
              <w:pStyle w:val="Normal"/>
              <w:rPr/>
            </w:pPr>
            <w:r>
              <w:rPr>
                <w:b/>
                <w:bCs/>
                <w:sz w:val="16"/>
                <w:szCs w:val="16"/>
                <w:lang w:val="kk-KZ"/>
              </w:rPr>
              <w:t>Дәстүрлі жүйедегі баға</w:t>
            </w:r>
          </w:p>
        </w:tc>
        <w:tc>
          <w:tcPr>
            <w:tcW w:w="4814"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986"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lang w:val="en-US"/>
              </w:rPr>
              <w:t>4</w:t>
            </w:r>
            <w:r>
              <w:rPr>
                <w:sz w:val="16"/>
                <w:szCs w:val="16"/>
              </w:rPr>
              <w:t>,0</w:t>
            </w:r>
          </w:p>
        </w:tc>
        <w:tc>
          <w:tcPr>
            <w:tcW w:w="1061" w:type="dxa"/>
            <w:tcBorders/>
            <w:shd w:fill="auto" w:val="clear"/>
          </w:tcPr>
          <w:p>
            <w:pPr>
              <w:pStyle w:val="Normal"/>
              <w:jc w:val="both"/>
              <w:rPr/>
            </w:pPr>
            <w:r>
              <w:rPr>
                <w:sz w:val="16"/>
                <w:szCs w:val="16"/>
                <w:lang w:val="en-US"/>
              </w:rPr>
              <w:t>95-100</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4814"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986"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rPr>
              <w:t>3,67</w:t>
            </w:r>
          </w:p>
        </w:tc>
        <w:tc>
          <w:tcPr>
            <w:tcW w:w="1061" w:type="dxa"/>
            <w:tcBorders/>
            <w:shd w:fill="auto" w:val="clear"/>
          </w:tcPr>
          <w:p>
            <w:pPr>
              <w:pStyle w:val="Normal"/>
              <w:jc w:val="both"/>
              <w:rPr/>
            </w:pPr>
            <w:r>
              <w:rPr>
                <w:sz w:val="16"/>
                <w:szCs w:val="16"/>
              </w:rPr>
              <w:t>90-94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4814" w:type="dxa"/>
            <w:gridSpan w:val="3"/>
            <w:vMerge w:val="continue"/>
            <w:tcBorders/>
            <w:shd w:fill="auto" w:val="clear"/>
          </w:tcPr>
          <w:p>
            <w:pPr>
              <w:pStyle w:val="Normal"/>
              <w:jc w:val="both"/>
              <w:rPr>
                <w:sz w:val="16"/>
                <w:szCs w:val="16"/>
              </w:rPr>
            </w:pPr>
            <w:r>
              <w:rPr>
                <w:sz w:val="16"/>
                <w:szCs w:val="16"/>
              </w:rPr>
            </w:r>
          </w:p>
        </w:tc>
      </w:tr>
      <w:tr>
        <w:trPr>
          <w:trHeight w:val="215"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3,33</w:t>
            </w:r>
          </w:p>
        </w:tc>
        <w:tc>
          <w:tcPr>
            <w:tcW w:w="1061" w:type="dxa"/>
            <w:tcBorders/>
            <w:shd w:fill="auto" w:val="clear"/>
          </w:tcPr>
          <w:p>
            <w:pPr>
              <w:pStyle w:val="Normal"/>
              <w:jc w:val="both"/>
              <w:rPr/>
            </w:pPr>
            <w:r>
              <w:rPr>
                <w:sz w:val="16"/>
                <w:szCs w:val="16"/>
              </w:rPr>
              <w:t>85-89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color="auto" w:fill="auto" w:val="clear"/>
          </w:tcPr>
          <w:p>
            <w:pPr>
              <w:pStyle w:val="Normal"/>
              <w:rPr>
                <w:b/>
                <w:b/>
                <w:sz w:val="16"/>
                <w:szCs w:val="16"/>
                <w:lang w:val="kk-KZ" w:eastAsia="en-US"/>
              </w:rPr>
            </w:pPr>
            <w:r>
              <w:rPr>
                <w:b/>
                <w:sz w:val="16"/>
                <w:szCs w:val="16"/>
                <w:lang w:val="kk-KZ" w:eastAsia="en-US"/>
              </w:rPr>
            </w:r>
          </w:p>
        </w:tc>
        <w:tc>
          <w:tcPr>
            <w:tcW w:w="2053" w:type="dxa"/>
            <w:tcBorders/>
            <w:shd w:color="auto" w:fill="auto" w:val="clear"/>
          </w:tcPr>
          <w:p>
            <w:pPr>
              <w:pStyle w:val="Normal"/>
              <w:jc w:val="both"/>
              <w:rPr/>
            </w:pPr>
            <w:r>
              <w:rPr>
                <w:sz w:val="16"/>
                <w:szCs w:val="16"/>
                <w:lang w:val="en-US"/>
              </w:rPr>
              <w:t>B+</w:t>
            </w:r>
          </w:p>
        </w:tc>
      </w:tr>
      <w:tr>
        <w:trPr>
          <w:trHeight w:val="135"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3,0</w:t>
            </w:r>
          </w:p>
        </w:tc>
        <w:tc>
          <w:tcPr>
            <w:tcW w:w="1061" w:type="dxa"/>
            <w:tcBorders/>
            <w:shd w:fill="auto" w:val="clear"/>
          </w:tcPr>
          <w:p>
            <w:pPr>
              <w:pStyle w:val="Normal"/>
              <w:jc w:val="both"/>
              <w:rPr/>
            </w:pPr>
            <w:r>
              <w:rPr>
                <w:sz w:val="16"/>
                <w:szCs w:val="16"/>
              </w:rPr>
              <w:t>80-84</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053" w:type="dxa"/>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2,67</w:t>
            </w:r>
          </w:p>
        </w:tc>
        <w:tc>
          <w:tcPr>
            <w:tcW w:w="1061" w:type="dxa"/>
            <w:tcBorders/>
            <w:shd w:fill="auto" w:val="clear"/>
          </w:tcPr>
          <w:p>
            <w:pPr>
              <w:pStyle w:val="Normal"/>
              <w:jc w:val="both"/>
              <w:rPr/>
            </w:pPr>
            <w:r>
              <w:rPr>
                <w:sz w:val="16"/>
                <w:szCs w:val="16"/>
              </w:rPr>
              <w:t>75-79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rPr>
              <w:t>Дәрістердегі белсенділік</w:t>
            </w:r>
          </w:p>
        </w:tc>
        <w:tc>
          <w:tcPr>
            <w:tcW w:w="2053" w:type="dxa"/>
            <w:tcBorders/>
            <w:shd w:fill="auto" w:val="clear"/>
          </w:tcPr>
          <w:p>
            <w:pPr>
              <w:pStyle w:val="Normal"/>
              <w:jc w:val="both"/>
              <w:rPr/>
            </w:pPr>
            <w:r>
              <w:rPr>
                <w:sz w:val="16"/>
                <w:szCs w:val="16"/>
              </w:rPr>
              <w:t>5</w:t>
            </w:r>
          </w:p>
        </w:tc>
      </w:tr>
      <w:tr>
        <w:trPr>
          <w:trHeight w:val="181"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2,33</w:t>
            </w:r>
          </w:p>
        </w:tc>
        <w:tc>
          <w:tcPr>
            <w:tcW w:w="1061" w:type="dxa"/>
            <w:tcBorders/>
            <w:shd w:fill="auto" w:val="clear"/>
          </w:tcPr>
          <w:p>
            <w:pPr>
              <w:pStyle w:val="Normal"/>
              <w:jc w:val="both"/>
              <w:rPr/>
            </w:pPr>
            <w:r>
              <w:rPr>
                <w:sz w:val="16"/>
                <w:szCs w:val="16"/>
              </w:rPr>
              <w:t>70-74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053" w:type="dxa"/>
            <w:tcBorders/>
            <w:shd w:fill="auto" w:val="clear"/>
          </w:tcPr>
          <w:p>
            <w:pPr>
              <w:pStyle w:val="Normal"/>
              <w:jc w:val="both"/>
              <w:rPr/>
            </w:pPr>
            <w:r>
              <w:rPr>
                <w:sz w:val="16"/>
                <w:szCs w:val="16"/>
                <w:lang w:val="kk-KZ"/>
              </w:rPr>
              <w:t>20</w:t>
            </w:r>
          </w:p>
        </w:tc>
      </w:tr>
      <w:tr>
        <w:trPr>
          <w:trHeight w:val="87"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2,0</w:t>
            </w:r>
          </w:p>
        </w:tc>
        <w:tc>
          <w:tcPr>
            <w:tcW w:w="1061" w:type="dxa"/>
            <w:tcBorders/>
            <w:shd w:fill="auto" w:val="clear"/>
          </w:tcPr>
          <w:p>
            <w:pPr>
              <w:pStyle w:val="Normal"/>
              <w:jc w:val="both"/>
              <w:rPr/>
            </w:pPr>
            <w:r>
              <w:rPr>
                <w:sz w:val="16"/>
                <w:szCs w:val="16"/>
              </w:rPr>
              <w:t>65-69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053" w:type="dxa"/>
            <w:tcBorders/>
            <w:shd w:fill="auto" w:val="clear"/>
          </w:tcPr>
          <w:p>
            <w:pPr>
              <w:pStyle w:val="Normal"/>
              <w:jc w:val="both"/>
              <w:rPr/>
            </w:pPr>
            <w:r>
              <w:rPr>
                <w:sz w:val="16"/>
                <w:szCs w:val="16"/>
              </w:rPr>
              <w:t>2</w:t>
            </w:r>
            <w:r>
              <w:rPr>
                <w:sz w:val="16"/>
                <w:szCs w:val="16"/>
                <w:lang w:val="kk-KZ"/>
              </w:rPr>
              <w:t>5</w:t>
            </w:r>
          </w:p>
        </w:tc>
      </w:tr>
      <w:tr>
        <w:trPr>
          <w:trHeight w:val="250"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1,67</w:t>
            </w:r>
          </w:p>
        </w:tc>
        <w:tc>
          <w:tcPr>
            <w:tcW w:w="1061" w:type="dxa"/>
            <w:tcBorders/>
            <w:shd w:fill="auto" w:val="clear"/>
          </w:tcPr>
          <w:p>
            <w:pPr>
              <w:pStyle w:val="Normal"/>
              <w:jc w:val="both"/>
              <w:rPr/>
            </w:pPr>
            <w:r>
              <w:rPr>
                <w:sz w:val="16"/>
                <w:szCs w:val="16"/>
              </w:rPr>
              <w:t>60-64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053" w:type="dxa"/>
            <w:tcBorders/>
            <w:shd w:fill="auto" w:val="clear"/>
          </w:tcPr>
          <w:p>
            <w:pPr>
              <w:pStyle w:val="Normal"/>
              <w:jc w:val="both"/>
              <w:rPr/>
            </w:pPr>
            <w:r>
              <w:rPr>
                <w:sz w:val="16"/>
                <w:szCs w:val="16"/>
                <w:lang w:val="kk-KZ"/>
              </w:rPr>
              <w:t>10</w:t>
            </w:r>
          </w:p>
        </w:tc>
      </w:tr>
      <w:tr>
        <w:trPr>
          <w:trHeight w:val="315" w:hRule="atLeast"/>
        </w:trPr>
        <w:tc>
          <w:tcPr>
            <w:tcW w:w="986" w:type="dxa"/>
            <w:tcBorders/>
            <w:shd w:fill="auto" w:val="clear"/>
          </w:tcPr>
          <w:p>
            <w:pPr>
              <w:pStyle w:val="Normal"/>
              <w:jc w:val="both"/>
              <w:rPr/>
            </w:pPr>
            <w:r>
              <w:rPr>
                <w:sz w:val="16"/>
                <w:szCs w:val="16"/>
                <w:lang w:val="en-US"/>
              </w:rPr>
              <w:t>D+</w:t>
            </w:r>
          </w:p>
        </w:tc>
        <w:tc>
          <w:tcPr>
            <w:tcW w:w="1097" w:type="dxa"/>
            <w:gridSpan w:val="2"/>
            <w:tcBorders/>
            <w:shd w:fill="auto" w:val="clear"/>
          </w:tcPr>
          <w:p>
            <w:pPr>
              <w:pStyle w:val="Normal"/>
              <w:jc w:val="both"/>
              <w:rPr/>
            </w:pPr>
            <w:r>
              <w:rPr>
                <w:sz w:val="16"/>
                <w:szCs w:val="16"/>
              </w:rPr>
              <w:t>1,33</w:t>
            </w:r>
          </w:p>
        </w:tc>
        <w:tc>
          <w:tcPr>
            <w:tcW w:w="1061" w:type="dxa"/>
            <w:tcBorders/>
            <w:shd w:fill="auto" w:val="clear"/>
          </w:tcPr>
          <w:p>
            <w:pPr>
              <w:pStyle w:val="Normal"/>
              <w:jc w:val="both"/>
              <w:rPr/>
            </w:pPr>
            <w:r>
              <w:rPr>
                <w:sz w:val="16"/>
                <w:szCs w:val="16"/>
              </w:rPr>
              <w:t>55-59</w:t>
            </w:r>
          </w:p>
        </w:tc>
        <w:tc>
          <w:tcPr>
            <w:tcW w:w="1736" w:type="dxa"/>
            <w:vMerge w:val="continue"/>
            <w:tcBorders/>
            <w:shd w:fill="auto" w:val="clear"/>
          </w:tcPr>
          <w:p>
            <w:pPr>
              <w:pStyle w:val="Normal"/>
              <w:rPr>
                <w:sz w:val="16"/>
                <w:szCs w:val="16"/>
                <w:highlight w:val="green"/>
              </w:rPr>
            </w:pPr>
            <w:r>
              <w:rPr>
                <w:sz w:val="16"/>
                <w:szCs w:val="16"/>
                <w:highlight w:val="green"/>
              </w:rPr>
            </w:r>
          </w:p>
        </w:tc>
        <w:tc>
          <w:tcPr>
            <w:tcW w:w="2761"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3" w:type="dxa"/>
            <w:tcBorders/>
            <w:shd w:fill="auto" w:val="clear"/>
          </w:tcPr>
          <w:p>
            <w:pPr>
              <w:pStyle w:val="Normal"/>
              <w:jc w:val="both"/>
              <w:rPr/>
            </w:pPr>
            <w:r>
              <w:rPr>
                <w:sz w:val="16"/>
                <w:szCs w:val="16"/>
              </w:rPr>
              <w:t>40</w:t>
            </w:r>
          </w:p>
        </w:tc>
      </w:tr>
      <w:tr>
        <w:trPr>
          <w:trHeight w:val="786" w:hRule="atLeast"/>
        </w:trPr>
        <w:tc>
          <w:tcPr>
            <w:tcW w:w="9694" w:type="dxa"/>
            <w:gridSpan w:val="8"/>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bl>
    <w:tbl>
      <w:tblPr>
        <w:tblW w:w="10051" w:type="dxa"/>
        <w:jc w:val="left"/>
        <w:tblInd w:w="-532" w:type="dxa"/>
        <w:tblCellMar>
          <w:top w:w="0" w:type="dxa"/>
          <w:left w:w="108" w:type="dxa"/>
          <w:bottom w:w="0" w:type="dxa"/>
          <w:right w:w="108" w:type="dxa"/>
        </w:tblCellMar>
      </w:tblPr>
      <w:tblGrid>
        <w:gridCol w:w="907"/>
        <w:gridCol w:w="7406"/>
        <w:gridCol w:w="4"/>
        <w:gridCol w:w="845"/>
        <w:gridCol w:w="4"/>
        <w:gridCol w:w="885"/>
      </w:tblGrid>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Апта</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Тақырып атауы</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Сағат саны</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ind w:left="-68" w:right="0" w:firstLine="26"/>
              <w:jc w:val="center"/>
              <w:rPr/>
            </w:pPr>
            <w:r>
              <w:rPr>
                <w:b/>
                <w:sz w:val="20"/>
                <w:szCs w:val="20"/>
              </w:rPr>
              <w:t>Макс.</w:t>
            </w:r>
          </w:p>
          <w:p>
            <w:pPr>
              <w:pStyle w:val="Normal"/>
              <w:tabs>
                <w:tab w:val="clear" w:pos="720"/>
                <w:tab w:val="left" w:pos="1276" w:leader="none"/>
              </w:tabs>
              <w:jc w:val="center"/>
              <w:rPr/>
            </w:pPr>
            <w:r>
              <w:rPr>
                <w:b/>
                <w:sz w:val="20"/>
                <w:szCs w:val="20"/>
                <w:lang w:val="kk-KZ"/>
              </w:rPr>
              <w:t>б</w:t>
            </w:r>
            <w:r>
              <w:rPr>
                <w:b/>
                <w:sz w:val="20"/>
                <w:szCs w:val="20"/>
              </w:rPr>
              <w:t>алл</w:t>
            </w:r>
            <w:r>
              <w:rPr>
                <w:b/>
                <w:sz w:val="20"/>
                <w:szCs w:val="20"/>
                <w:lang w:val="kk-KZ"/>
              </w:rPr>
              <w:t>***</w:t>
            </w:r>
          </w:p>
        </w:tc>
      </w:tr>
      <w:tr>
        <w:trPr/>
        <w:tc>
          <w:tcPr>
            <w:tcW w:w="1005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 xml:space="preserve">Модуль 1 </w:t>
            </w:r>
            <w:r>
              <w:rPr>
                <w:b/>
                <w:sz w:val="20"/>
                <w:szCs w:val="20"/>
                <w:lang w:val="kk-KZ"/>
              </w:rPr>
              <w:t xml:space="preserve"> </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Fonts w:ascii="Times New Roman" w:hAnsi="Times New Roman"/>
                <w:bCs/>
                <w:sz w:val="21"/>
                <w:szCs w:val="21"/>
                <w:lang w:val="kk-KZ" w:eastAsia="zh-CN"/>
              </w:rPr>
              <w:t>《你舅妈也开始用电脑了》</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Fonts w:ascii="Times New Roman" w:hAnsi="Times New Roman"/>
                <w:bCs/>
                <w:sz w:val="21"/>
                <w:szCs w:val="21"/>
                <w:lang w:val="kk-KZ" w:eastAsia="zh-CN"/>
              </w:rPr>
              <w:t>《司机开着车送我们到医院》</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color w:val="201F1E"/>
                <w:sz w:val="20"/>
                <w:szCs w:val="20"/>
                <w:highlight w:val="white"/>
              </w:rPr>
              <w:t>СОӨЖ 1. СӨЖ1  орындау бойынша консультация</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cs="Times New Roman"/>
                <w:bCs/>
                <w:sz w:val="21"/>
                <w:szCs w:val="21"/>
                <w:lang w:val="kk-KZ" w:eastAsia="zh-CN"/>
              </w:rPr>
              <w:t>《你快要成中国通了》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rHeight w:val="168" w:hRule="atLeast"/>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bCs/>
                <w:color w:val="201F1E"/>
                <w:sz w:val="20"/>
                <w:szCs w:val="20"/>
                <w:highlight w:val="white"/>
                <w:lang w:val="kk-KZ"/>
              </w:rPr>
              <w:t>СӨЖ1.</w:t>
            </w:r>
            <w:r>
              <w:rPr>
                <w:rFonts w:eastAsia="Times New Roman"/>
                <w:b/>
                <w:bCs/>
                <w:color w:val="201F1E"/>
                <w:sz w:val="20"/>
                <w:szCs w:val="20"/>
                <w:highlight w:val="white"/>
                <w:lang w:val="kk-KZ" w:eastAsia="zh-CN"/>
              </w:rPr>
              <w:t>«</w:t>
            </w:r>
            <w:r>
              <w:rPr>
                <w:rFonts w:ascii="Times New Roman" w:hAnsi="Times New Roman"/>
                <w:b/>
                <w:bCs/>
                <w:color w:val="201F1E"/>
                <w:sz w:val="20"/>
                <w:szCs w:val="20"/>
                <w:highlight w:val="white"/>
                <w:lang w:val="kk-KZ" w:eastAsia="zh-CN"/>
              </w:rPr>
              <w:t>中西方风俗习惯</w:t>
            </w:r>
            <w:r>
              <w:rPr>
                <w:rFonts w:eastAsia="Times New Roman"/>
                <w:b/>
                <w:bCs/>
                <w:color w:val="201F1E"/>
                <w:sz w:val="20"/>
                <w:szCs w:val="20"/>
                <w:highlight w:val="white"/>
                <w:lang w:val="kk-KZ" w:eastAsia="zh-CN"/>
              </w:rPr>
              <w:t>»тақырыбына мәтін құраңыз.</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15</w:t>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4</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snapToGrid w:val="false"/>
              <w:rPr/>
            </w:pPr>
            <w:r>
              <w:rPr>
                <w:rFonts w:ascii="Times New Roman" w:hAnsi="Times New Roman" w:cs="Times New Roman"/>
                <w:bCs/>
                <w:color w:val="222222"/>
                <w:sz w:val="21"/>
                <w:szCs w:val="21"/>
                <w:lang w:val="kk-KZ" w:eastAsia="zh-CN"/>
              </w:rPr>
              <w:t>《我们爬上长城来了》</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both"/>
              <w:rPr/>
            </w:pPr>
            <w:r>
              <w:rPr>
                <w:b/>
                <w:color w:val="201F1E"/>
                <w:sz w:val="20"/>
                <w:szCs w:val="20"/>
                <w:highlight w:val="white"/>
                <w:lang w:val="kk-KZ"/>
              </w:rPr>
              <w:t>СОӨЖ 2. СӨЖ 2 орындау бойынша консультация</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r>
      <w:tr>
        <w:trPr>
          <w:trHeight w:val="350" w:hRule="atLeast"/>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snapToGrid w:val="false"/>
              <w:jc w:val="both"/>
              <w:rPr/>
            </w:pPr>
            <w:r>
              <w:rPr>
                <w:rFonts w:ascii="Times New Roman" w:hAnsi="Times New Roman"/>
                <w:bCs/>
                <w:sz w:val="21"/>
                <w:szCs w:val="21"/>
                <w:lang w:val="kk-KZ" w:eastAsia="zh-CN"/>
              </w:rPr>
              <w:t>《你看过越剧没有》</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rHeight w:val="442" w:hRule="atLeast"/>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bCs/>
                <w:color w:val="201F1E"/>
                <w:sz w:val="20"/>
                <w:szCs w:val="20"/>
                <w:highlight w:val="white"/>
                <w:lang w:val="kk-KZ"/>
              </w:rPr>
              <w:t xml:space="preserve">СӨЖ </w:t>
            </w:r>
            <w:r>
              <w:rPr>
                <w:b/>
                <w:color w:val="201F1E"/>
                <w:sz w:val="20"/>
                <w:szCs w:val="20"/>
                <w:highlight w:val="white"/>
                <w:lang w:val="kk-KZ"/>
              </w:rPr>
              <w:t>2. «</w:t>
            </w:r>
            <w:r>
              <w:rPr>
                <w:rFonts w:ascii="Times New Roman" w:hAnsi="Times New Roman"/>
                <w:b/>
                <w:color w:val="201F1E"/>
                <w:sz w:val="20"/>
                <w:szCs w:val="20"/>
                <w:highlight w:val="white"/>
                <w:lang w:val="kk-KZ" w:eastAsia="zh-CN"/>
              </w:rPr>
              <w:t>送礼物</w:t>
            </w:r>
            <w:r>
              <w:rPr>
                <w:rFonts w:eastAsia="Times New Roman"/>
                <w:b/>
                <w:color w:val="201F1E"/>
                <w:sz w:val="20"/>
                <w:szCs w:val="20"/>
                <w:highlight w:val="white"/>
                <w:lang w:val="kk-KZ" w:eastAsia="zh-CN"/>
              </w:rPr>
              <w:t>»тақырыбына диалог құрап жазыңыз</w:t>
            </w:r>
            <w:r>
              <w:rPr>
                <w:rFonts w:eastAsia="宋体"/>
                <w:b/>
                <w:color w:val="201F1E"/>
                <w:sz w:val="20"/>
                <w:szCs w:val="20"/>
                <w:highlight w:val="white"/>
                <w:lang w:val="kk-KZ" w:eastAsia="zh-CN"/>
              </w:rPr>
              <w:t>.</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20"/>
                <w:szCs w:val="20"/>
              </w:rPr>
            </w:pPr>
            <w:r>
              <w:rPr>
                <w:sz w:val="20"/>
                <w:szCs w:val="20"/>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15</w:t>
            </w:r>
          </w:p>
        </w:tc>
      </w:tr>
      <w:tr>
        <w:trPr/>
        <w:tc>
          <w:tcPr>
            <w:tcW w:w="1005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Модуль 2</w:t>
            </w:r>
            <w:r>
              <w:rPr>
                <w:color w:val="000000"/>
                <w:sz w:val="20"/>
                <w:szCs w:val="20"/>
              </w:rPr>
              <w:t xml:space="preserve"> </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6</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bCs/>
                <w:sz w:val="21"/>
                <w:szCs w:val="21"/>
                <w:lang w:val="kk-KZ" w:eastAsia="zh-CN"/>
              </w:rPr>
              <w:t>《入乡随俗》</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7</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礼轻情意重</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color w:val="000000"/>
                <w:sz w:val="20"/>
                <w:szCs w:val="20"/>
                <w:lang w:val="kk-KZ"/>
              </w:rPr>
              <w:t>СОӨЖ</w:t>
            </w:r>
            <w:r>
              <w:rPr>
                <w:b/>
                <w:color w:val="000000"/>
                <w:sz w:val="20"/>
                <w:szCs w:val="20"/>
              </w:rPr>
              <w:t xml:space="preserve"> 3. </w:t>
            </w:r>
            <w:r>
              <w:rPr>
                <w:b/>
                <w:color w:val="000000"/>
                <w:sz w:val="20"/>
                <w:szCs w:val="20"/>
                <w:lang w:val="kk-KZ"/>
              </w:rPr>
              <w:t xml:space="preserve"> </w:t>
            </w:r>
            <w:r>
              <w:rPr>
                <w:color w:val="000000"/>
                <w:sz w:val="20"/>
                <w:szCs w:val="20"/>
                <w:lang w:val="kk-KZ"/>
              </w:rPr>
              <w:t xml:space="preserve">СӨЖ </w:t>
            </w:r>
            <w:r>
              <w:rPr>
                <w:color w:val="000000"/>
                <w:sz w:val="20"/>
                <w:szCs w:val="20"/>
                <w:lang w:val="en-US"/>
              </w:rPr>
              <w:t>3орындау</w:t>
            </w:r>
            <w:r>
              <w:rPr>
                <w:color w:val="000000"/>
                <w:sz w:val="20"/>
                <w:szCs w:val="20"/>
                <w:lang w:val="kk-KZ"/>
              </w:rPr>
              <w:t xml:space="preserve"> бойынша кеңес беру.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831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b/>
                <w:sz w:val="20"/>
                <w:szCs w:val="20"/>
                <w:lang w:val="kk-KZ"/>
              </w:rPr>
              <w:t xml:space="preserve">   </w:t>
            </w:r>
            <w:r>
              <w:rPr>
                <w:b/>
                <w:sz w:val="20"/>
                <w:szCs w:val="20"/>
                <w:lang w:val="kk-KZ"/>
              </w:rPr>
              <w:t>АБ 1</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kk-KZ"/>
              </w:rPr>
              <w:t>100</w:t>
            </w:r>
          </w:p>
        </w:tc>
      </w:tr>
      <w:tr>
        <w:trPr>
          <w:trHeight w:val="471" w:hRule="atLeast"/>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8</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bCs/>
                <w:sz w:val="21"/>
                <w:szCs w:val="21"/>
                <w:lang w:val="kk-KZ" w:eastAsia="zh-CN"/>
              </w:rPr>
              <w:t>《请多提意见》</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9</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snapToGrid w:val="false"/>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他们是练太极拳的</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10</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snapToGrid w:val="false"/>
              <w:jc w:val="both"/>
              <w:rPr/>
            </w:pPr>
            <w:r>
              <w:rPr>
                <w:rFonts w:ascii="Times New Roman" w:hAnsi="Times New Roman" w:cs="Times New Roman"/>
                <w:bCs/>
                <w:color w:val="222222"/>
                <w:sz w:val="21"/>
                <w:szCs w:val="21"/>
                <w:lang w:val="en-US" w:eastAsia="zh-CN"/>
              </w:rPr>
              <w:t>中国人叫她</w:t>
            </w:r>
            <w:r>
              <w:rPr>
                <w:rFonts w:ascii="Times New Roman" w:hAnsi="Times New Roman" w:cs="Times New Roman"/>
                <w:bCs/>
                <w:color w:val="222222"/>
                <w:sz w:val="21"/>
                <w:szCs w:val="21"/>
                <w:lang w:val="kk-KZ" w:eastAsia="zh-CN"/>
              </w:rPr>
              <w:t>“</w:t>
            </w:r>
            <w:r>
              <w:rPr>
                <w:rFonts w:ascii="Times New Roman" w:hAnsi="Times New Roman" w:cs="Times New Roman"/>
                <w:bCs/>
                <w:color w:val="222222"/>
                <w:sz w:val="21"/>
                <w:szCs w:val="21"/>
                <w:lang w:val="en-US" w:eastAsia="zh-CN"/>
              </w:rPr>
              <w:t>母亲河</w:t>
            </w:r>
            <w:r>
              <w:rPr>
                <w:rFonts w:ascii="Times New Roman" w:hAnsi="Times New Roman" w:cs="Times New Roman"/>
                <w:bCs/>
                <w:color w:val="222222"/>
                <w:sz w:val="21"/>
                <w:szCs w:val="21"/>
                <w:lang w:val="kk-KZ" w:eastAsia="zh-CN"/>
              </w:rPr>
              <w:t>”》</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b/>
                <w:color w:val="201F1E"/>
                <w:sz w:val="20"/>
                <w:szCs w:val="20"/>
                <w:highlight w:val="white"/>
                <w:lang w:val="kk-KZ"/>
              </w:rPr>
              <w:t>С</w:t>
            </w:r>
            <w:r>
              <w:rPr>
                <w:b/>
                <w:color w:val="201F1E"/>
                <w:sz w:val="20"/>
                <w:szCs w:val="20"/>
                <w:highlight w:val="white"/>
              </w:rPr>
              <w:t xml:space="preserve">ОӨЖ 4. </w:t>
            </w:r>
            <w:r>
              <w:rPr>
                <w:b/>
                <w:color w:val="201F1E"/>
                <w:sz w:val="20"/>
                <w:szCs w:val="20"/>
                <w:highlight w:val="white"/>
                <w:lang w:val="kk-KZ"/>
              </w:rPr>
              <w:t>С</w:t>
            </w:r>
            <w:r>
              <w:rPr>
                <w:b/>
                <w:color w:val="201F1E"/>
                <w:sz w:val="20"/>
                <w:szCs w:val="20"/>
                <w:highlight w:val="white"/>
              </w:rPr>
              <w:t>ӨЖ 4 орындау бойынша консультация</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b/>
                <w:bCs/>
                <w:sz w:val="20"/>
                <w:szCs w:val="20"/>
                <w:lang w:val="kk-KZ"/>
              </w:rPr>
              <w:t xml:space="preserve">СӨЖ </w:t>
            </w:r>
            <w:r>
              <w:rPr>
                <w:b/>
                <w:bCs/>
                <w:sz w:val="20"/>
                <w:szCs w:val="20"/>
                <w:lang w:val="kk-KZ" w:eastAsia="zh-CN"/>
              </w:rPr>
              <w:t>3</w:t>
            </w:r>
            <w:r>
              <w:rPr>
                <w:rFonts w:eastAsia="Calibri" w:cs="Times New Roman" w:ascii="Calibri" w:hAnsi="Calibri"/>
                <w:b/>
                <w:bCs/>
                <w:color w:val="222222"/>
                <w:sz w:val="18"/>
                <w:szCs w:val="18"/>
                <w:lang w:val="kk-KZ" w:eastAsia="zh-CN"/>
              </w:rPr>
              <w:t>«</w:t>
            </w:r>
            <w:r>
              <w:rPr>
                <w:rFonts w:ascii="Calibri" w:hAnsi="Calibri" w:cs="Times New Roman"/>
                <w:b/>
                <w:bCs/>
                <w:color w:val="222222"/>
                <w:sz w:val="18"/>
                <w:szCs w:val="18"/>
                <w:lang w:val="kk-KZ" w:eastAsia="zh-CN"/>
              </w:rPr>
              <w:t>保护环境</w:t>
            </w:r>
            <w:r>
              <w:rPr>
                <w:rFonts w:eastAsia="Calibri" w:cs="Times New Roman" w:ascii="Calibri" w:hAnsi="Calibri"/>
                <w:b/>
                <w:bCs/>
                <w:color w:val="222222"/>
                <w:sz w:val="18"/>
                <w:szCs w:val="18"/>
                <w:lang w:val="kk-KZ" w:eastAsia="zh-CN"/>
              </w:rPr>
              <w:t>»</w:t>
            </w:r>
            <w:r>
              <w:rPr>
                <w:rFonts w:eastAsia="Times New Roman" w:cs="Times New Roman"/>
                <w:b/>
                <w:bCs/>
                <w:color w:val="222222"/>
                <w:sz w:val="18"/>
                <w:szCs w:val="18"/>
                <w:lang w:val="kk-KZ" w:eastAsia="zh-CN"/>
              </w:rPr>
              <w:t>тақырыбына мәтін құраңыз.</w:t>
            </w:r>
            <w:r>
              <w:rPr>
                <w:sz w:val="20"/>
                <w:szCs w:val="20"/>
                <w:lang w:val="kk-KZ"/>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10</w:t>
            </w:r>
          </w:p>
        </w:tc>
      </w:tr>
      <w:tr>
        <w:trPr/>
        <w:tc>
          <w:tcPr>
            <w:tcW w:w="1005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rPr>
              <w:t xml:space="preserve">Модуль </w:t>
            </w:r>
            <w:r>
              <w:rPr>
                <w:b/>
                <w:color w:val="000000"/>
                <w:sz w:val="20"/>
                <w:szCs w:val="20"/>
              </w:rPr>
              <w:t>3</w:t>
            </w:r>
            <w:r>
              <w:rPr>
                <w:b/>
                <w:color w:val="000000"/>
                <w:sz w:val="20"/>
                <w:szCs w:val="20"/>
                <w:lang w:val="kk-KZ"/>
              </w:rPr>
              <w:t xml:space="preserve">  сөз таптары</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这样的问题现在也不能问了</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保护环境就是保护我们自己》</w:t>
            </w:r>
            <w:r>
              <w:rPr>
                <w:rFonts w:eastAsia="宋体"/>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5. </w:t>
            </w:r>
            <w:r>
              <w:rPr>
                <w:b/>
                <w:color w:val="201F1E"/>
                <w:sz w:val="20"/>
                <w:szCs w:val="20"/>
                <w:highlight w:val="white"/>
                <w:lang w:val="kk-KZ"/>
              </w:rPr>
              <w:t>С</w:t>
            </w:r>
            <w:r>
              <w:rPr>
                <w:b/>
                <w:color w:val="201F1E"/>
                <w:sz w:val="20"/>
                <w:szCs w:val="20"/>
                <w:highlight w:val="white"/>
              </w:rPr>
              <w:t>ӨЖ 5 орындау бойынша консультация</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c>
          <w:tcPr>
            <w:tcW w:w="7406" w:type="dxa"/>
            <w:tcBorders>
              <w:left w:val="single" w:sz="4" w:space="0" w:color="000000"/>
              <w:bottom w:val="single" w:sz="4" w:space="0" w:color="000000"/>
              <w:right w:val="single" w:sz="4" w:space="0" w:color="000000"/>
            </w:tcBorders>
            <w:shd w:fill="auto" w:val="clear"/>
          </w:tcPr>
          <w:p>
            <w:pPr>
              <w:pStyle w:val="Normal"/>
              <w:rPr/>
            </w:pPr>
            <w:r>
              <w:rPr>
                <w:b/>
                <w:bCs/>
                <w:sz w:val="20"/>
                <w:szCs w:val="20"/>
                <w:lang w:val="kk-KZ"/>
              </w:rPr>
              <w:t>С</w:t>
            </w:r>
            <w:r>
              <w:rPr>
                <w:b/>
                <w:bCs/>
                <w:sz w:val="20"/>
                <w:szCs w:val="20"/>
              </w:rPr>
              <w:t>ӨЖ</w:t>
            </w:r>
            <w:r>
              <w:rPr>
                <w:b/>
                <w:bCs/>
                <w:sz w:val="20"/>
                <w:szCs w:val="20"/>
                <w:lang w:eastAsia="zh-CN"/>
              </w:rPr>
              <w:t xml:space="preserve"> </w:t>
            </w:r>
            <w:r>
              <w:rPr>
                <w:b/>
                <w:sz w:val="20"/>
                <w:szCs w:val="20"/>
                <w:lang w:eastAsia="zh-CN"/>
              </w:rPr>
              <w:t xml:space="preserve">  </w:t>
            </w:r>
            <w:r>
              <w:rPr>
                <w:rFonts w:eastAsia="" w:eastAsiaTheme="minorEastAsia"/>
                <w:b/>
                <w:bCs/>
                <w:sz w:val="20"/>
                <w:szCs w:val="20"/>
                <w:lang w:val="kk-KZ" w:eastAsia="zh-CN"/>
              </w:rPr>
              <w:t>4</w:t>
            </w:r>
            <w:r>
              <w:rPr>
                <w:rFonts w:eastAsia="宋体"/>
                <w:b/>
                <w:bCs/>
                <w:sz w:val="21"/>
                <w:szCs w:val="21"/>
                <w:lang w:val="en-US" w:eastAsia="zh-CN"/>
              </w:rPr>
              <w:t xml:space="preserve"> </w:t>
            </w:r>
            <w:r>
              <w:rPr>
                <w:rFonts w:eastAsia="Times New Roman" w:ascii="Calibri" w:hAnsi="Calibri"/>
                <w:b/>
                <w:sz w:val="20"/>
                <w:szCs w:val="20"/>
                <w:lang w:val="kk-KZ" w:eastAsia="zh-CN"/>
              </w:rPr>
              <w:t>«</w:t>
            </w:r>
            <w:r>
              <w:rPr>
                <w:rFonts w:ascii="Calibri" w:hAnsi="Calibri"/>
                <w:b/>
                <w:sz w:val="20"/>
                <w:szCs w:val="20"/>
                <w:lang w:val="kk-KZ" w:eastAsia="zh-CN"/>
              </w:rPr>
              <w:t>我喜欢开车</w:t>
            </w:r>
            <w:r>
              <w:rPr>
                <w:rFonts w:eastAsia="Times New Roman" w:ascii="Calibri" w:hAnsi="Calibri"/>
                <w:b/>
                <w:sz w:val="20"/>
                <w:szCs w:val="20"/>
                <w:lang w:val="kk-KZ" w:eastAsia="zh-CN"/>
              </w:rPr>
              <w:t>»</w:t>
            </w:r>
            <w:r>
              <w:rPr>
                <w:rFonts w:eastAsia="Times New Roman"/>
                <w:b/>
                <w:sz w:val="20"/>
                <w:szCs w:val="20"/>
                <w:lang w:val="kk-KZ" w:eastAsia="zh-CN"/>
              </w:rPr>
              <w:t xml:space="preserve">  тақырыбына</w:t>
            </w:r>
          </w:p>
          <w:p>
            <w:pPr>
              <w:pStyle w:val="ListParagraph"/>
              <w:snapToGrid w:val="false"/>
              <w:spacing w:lineRule="auto" w:line="240" w:before="0" w:after="0"/>
              <w:ind w:left="0" w:right="0" w:hanging="0"/>
              <w:contextualSpacing/>
              <w:jc w:val="both"/>
              <w:rPr>
                <w:rFonts w:ascii="Times New Roman" w:hAnsi="Times New Roman"/>
                <w:b/>
                <w:b/>
                <w:sz w:val="20"/>
                <w:szCs w:val="20"/>
              </w:rPr>
            </w:pPr>
            <w:r>
              <w:rPr>
                <w:b/>
                <w:sz w:val="20"/>
                <w:szCs w:val="20"/>
              </w:rPr>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神女峰的传说</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tcBorders>
              <w:left w:val="single" w:sz="4" w:space="0" w:color="000000"/>
              <w:bottom w:val="single" w:sz="4" w:space="0" w:color="000000"/>
              <w:right w:val="single" w:sz="4" w:space="0" w:color="000000"/>
            </w:tcBorders>
            <w:shd w:fill="auto" w:val="clear"/>
          </w:tcPr>
          <w:p>
            <w:pPr>
              <w:pStyle w:val="Normal"/>
              <w:rPr/>
            </w:pPr>
            <w:r>
              <w:rPr>
                <w:lang w:val="en-US"/>
              </w:rPr>
              <w:t>14</w:t>
            </w:r>
          </w:p>
        </w:tc>
        <w:tc>
          <w:tcPr>
            <w:tcW w:w="7406" w:type="dxa"/>
            <w:tcBorders>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汽车我先开着</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ar-SA"/>
              </w:rPr>
            </w:pPr>
            <w:r>
              <w:rPr>
                <w:rFonts w:eastAsia="Times New Roman" w:cs="Times New Roman"/>
                <w:b/>
                <w:bCs/>
                <w:sz w:val="18"/>
                <w:szCs w:val="18"/>
                <w:lang w:val="kk-KZ" w:eastAsia="ar-SA"/>
              </w:rPr>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tcBorders>
              <w:left w:val="single" w:sz="4" w:space="0" w:color="000000"/>
              <w:bottom w:val="single" w:sz="4" w:space="0" w:color="000000"/>
              <w:right w:val="single" w:sz="4" w:space="0" w:color="000000"/>
            </w:tcBorders>
            <w:shd w:fill="auto" w:val="clear"/>
          </w:tcPr>
          <w:p>
            <w:pPr>
              <w:pStyle w:val="Normal"/>
              <w:rPr/>
            </w:pPr>
            <w:r>
              <w:rPr/>
            </w:r>
          </w:p>
        </w:tc>
        <w:tc>
          <w:tcPr>
            <w:tcW w:w="7406" w:type="dxa"/>
            <w:tcBorders>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6</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借钱</w:t>
            </w:r>
            <w:r>
              <w:rPr>
                <w:rFonts w:eastAsia="Times New Roman"/>
                <w:b/>
                <w:color w:val="201F1E"/>
                <w:sz w:val="20"/>
                <w:szCs w:val="20"/>
                <w:highlight w:val="white"/>
                <w:lang w:val="kk-KZ"/>
              </w:rPr>
              <w:t>» тақырыбына мәтін құрау.</w:t>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5</w:t>
            </w:r>
          </w:p>
        </w:tc>
      </w:tr>
      <w:tr>
        <w:trPr/>
        <w:tc>
          <w:tcPr>
            <w:tcW w:w="90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lang w:val="en-US"/>
              </w:rPr>
              <w:t>15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pPr>
            <w:r>
              <w:rPr>
                <w:rFonts w:ascii="Times New Roman" w:hAnsi="Times New Roman" w:cs="Times New Roman"/>
                <w:bCs/>
                <w:sz w:val="21"/>
                <w:szCs w:val="21"/>
                <w:lang w:val="kk-KZ" w:eastAsia="zh-CN"/>
              </w:rPr>
              <w:t>《北京热起来了》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sz w:val="20"/>
                <w:szCs w:val="20"/>
                <w:lang w:val="en-US"/>
              </w:rPr>
              <w:t>3</w:t>
            </w:r>
          </w:p>
        </w:tc>
        <w:tc>
          <w:tcPr>
            <w:tcW w:w="8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10</w:t>
            </w:r>
          </w:p>
        </w:tc>
      </w:tr>
      <w:tr>
        <w:trPr/>
        <w:tc>
          <w:tcPr>
            <w:tcW w:w="907" w:type="dxa"/>
            <w:tcBorders>
              <w:left w:val="single" w:sz="4" w:space="0" w:color="000000"/>
              <w:bottom w:val="single" w:sz="4" w:space="0" w:color="000000"/>
              <w:right w:val="single" w:sz="4" w:space="0" w:color="000000"/>
            </w:tcBorders>
            <w:shd w:fill="auto" w:val="clear"/>
          </w:tcPr>
          <w:p>
            <w:pPr>
              <w:pStyle w:val="Normal"/>
              <w:rPr/>
            </w:pPr>
            <w:r>
              <w:rPr/>
            </w:r>
          </w:p>
        </w:tc>
        <w:tc>
          <w:tcPr>
            <w:tcW w:w="7406" w:type="dxa"/>
            <w:tcBorders>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7</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天气</w:t>
            </w:r>
            <w:r>
              <w:rPr>
                <w:rFonts w:eastAsia="Times New Roman"/>
                <w:b/>
                <w:color w:val="201F1E"/>
                <w:sz w:val="20"/>
                <w:szCs w:val="20"/>
                <w:highlight w:val="white"/>
                <w:lang w:val="kk-KZ"/>
              </w:rPr>
              <w:t>» тақырыбына мәтін құрау.</w:t>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20"/>
                <w:szCs w:val="20"/>
              </w:rPr>
            </w:pPr>
            <w:r>
              <w:rPr>
                <w:b/>
                <w:sz w:val="20"/>
                <w:szCs w:val="20"/>
              </w:rPr>
            </w:r>
          </w:p>
        </w:tc>
        <w:tc>
          <w:tcPr>
            <w:tcW w:w="88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b/>
                <w:sz w:val="20"/>
                <w:szCs w:val="20"/>
                <w:lang w:val="en-US"/>
              </w:rPr>
              <w:t>5</w:t>
            </w:r>
          </w:p>
        </w:tc>
      </w:tr>
      <w:tr>
        <w:trPr/>
        <w:tc>
          <w:tcPr>
            <w:tcW w:w="831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88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r>
        <w:trPr/>
        <w:tc>
          <w:tcPr>
            <w:tcW w:w="8317"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885"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r>
        <w:trPr/>
        <w:tc>
          <w:tcPr>
            <w:tcW w:w="8317"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849"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885"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bl>
    <w:p>
      <w:pPr>
        <w:pStyle w:val="Normal"/>
        <w:tabs>
          <w:tab w:val="clear" w:pos="720"/>
          <w:tab w:val="left" w:pos="1276" w:leader="none"/>
        </w:tabs>
        <w:jc w:val="center"/>
        <w:rPr>
          <w:b/>
          <w:b/>
          <w:sz w:val="20"/>
          <w:szCs w:val="20"/>
        </w:rPr>
      </w:pPr>
      <w:r>
        <w:rPr>
          <w:b/>
          <w:sz w:val="20"/>
          <w:szCs w:val="20"/>
        </w:rPr>
        <w:t xml:space="preserve"> </w:t>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 w:name="宋体">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fals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LOnormal">
    <w:name w:val="LO-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11">
    <w:name w:val="Обычный1"/>
    <w:qFormat/>
    <w:pPr>
      <w:widowControl/>
      <w:suppressAutoHyphens w:val="true"/>
      <w:overflowPunct w:val="false"/>
      <w:bidi w:val="0"/>
      <w:spacing w:lineRule="auto" w:line="240" w:before="0" w:after="0"/>
      <w:jc w:val="left"/>
    </w:pPr>
    <w:rPr>
      <w:rFonts w:ascii="Times New Roman" w:hAnsi="Times New Roman" w:eastAsia="Arial" w:cs="Times New Roman"/>
      <w:color w:val="auto"/>
      <w:kern w:val="0"/>
      <w:sz w:val="20"/>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nku.baidu.com/view/cfa3e115a0116c175e0e4814.html" TargetMode="External"/><Relationship Id="rId3" Type="http://schemas.openxmlformats.org/officeDocument/2006/relationships/hyperlink" Target="http://blog.sina.com.cn/s/blog_873339840101a8pu.html" TargetMode="External"/><Relationship Id="rId4" Type="http://schemas.openxmlformats.org/officeDocument/2006/relationships/hyperlink" Target="https://myhsk.org/hsk-5-test/h51332/"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Application>LibreOffice/6.3.3.2$Windows_X86_64 LibreOffice_project/a64200df03143b798afd1ec74a12ab50359878ed</Application>
  <Pages>5</Pages>
  <Words>1491</Words>
  <Characters>8819</Characters>
  <CharactersWithSpaces>9937</CharactersWithSpaces>
  <Paragraphs>258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2023-07-03T08:21:52Z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